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06B" w:rsidRPr="00792E3F" w:rsidRDefault="008B606B" w:rsidP="008B606B">
      <w:pPr>
        <w:rPr>
          <w:rFonts w:ascii="Arial Narrow" w:hAnsi="Arial Narrow"/>
          <w:b/>
          <w:sz w:val="22"/>
          <w:szCs w:val="22"/>
        </w:rPr>
      </w:pPr>
      <w:r w:rsidRPr="00792E3F">
        <w:rPr>
          <w:rFonts w:ascii="Arial Narrow" w:hAnsi="Arial Narrow"/>
          <w:b/>
          <w:sz w:val="22"/>
          <w:szCs w:val="22"/>
        </w:rPr>
        <w:t>SEDPES, TARJETA DÈBITO Y CRÈDITO, ADQUIRENCIA</w:t>
      </w:r>
      <w:bookmarkStart w:id="0" w:name="_GoBack"/>
      <w:bookmarkEnd w:id="0"/>
    </w:p>
    <w:p w:rsidR="008B606B" w:rsidRPr="00792E3F" w:rsidRDefault="008B606B" w:rsidP="008B606B">
      <w:pPr>
        <w:rPr>
          <w:rFonts w:ascii="Arial Narrow" w:hAnsi="Arial Narrow"/>
          <w:sz w:val="22"/>
          <w:szCs w:val="22"/>
        </w:rPr>
        <w:sectPr w:rsidR="008B606B" w:rsidRPr="00792E3F" w:rsidSect="00792E3F">
          <w:type w:val="continuous"/>
          <w:pgSz w:w="12242" w:h="15842" w:code="1"/>
          <w:pgMar w:top="1985" w:right="1701" w:bottom="1701" w:left="1985" w:header="851" w:footer="709" w:gutter="0"/>
          <w:cols w:space="708"/>
          <w:docGrid w:linePitch="360"/>
        </w:sectPr>
      </w:pPr>
      <w:r w:rsidRPr="00792E3F">
        <w:rPr>
          <w:rFonts w:ascii="Arial Narrow" w:hAnsi="Arial Narrow"/>
          <w:sz w:val="22"/>
          <w:szCs w:val="22"/>
        </w:rPr>
        <w:t>Concepto 2019130670-003   del  10 de octubre de 2019</w:t>
      </w:r>
    </w:p>
    <w:p w:rsidR="008B606B" w:rsidRPr="00792E3F" w:rsidRDefault="008B606B" w:rsidP="008B606B">
      <w:pPr>
        <w:rPr>
          <w:rFonts w:ascii="Arial Narrow" w:hAnsi="Arial Narrow" w:cs="Arial"/>
          <w:sz w:val="22"/>
          <w:szCs w:val="22"/>
        </w:rPr>
      </w:pPr>
    </w:p>
    <w:p w:rsidR="008B606B" w:rsidRPr="00792E3F" w:rsidRDefault="00792E3F" w:rsidP="008B606B">
      <w:pPr>
        <w:jc w:val="both"/>
        <w:rPr>
          <w:rFonts w:ascii="Arial Narrow" w:hAnsi="Arial Narrow" w:cs="Arial"/>
          <w:i/>
          <w:sz w:val="22"/>
          <w:szCs w:val="22"/>
        </w:rPr>
      </w:pPr>
      <w:r w:rsidRPr="00792E3F">
        <w:rPr>
          <w:rFonts w:ascii="Arial Narrow" w:hAnsi="Arial Narrow" w:cs="Arial"/>
          <w:b/>
          <w:sz w:val="22"/>
          <w:szCs w:val="22"/>
        </w:rPr>
        <w:t>Síntesis</w:t>
      </w:r>
      <w:r w:rsidR="008B606B" w:rsidRPr="00792E3F">
        <w:rPr>
          <w:rFonts w:ascii="Arial Narrow" w:hAnsi="Arial Narrow" w:cs="Arial"/>
          <w:b/>
          <w:sz w:val="22"/>
          <w:szCs w:val="22"/>
        </w:rPr>
        <w:t>:</w:t>
      </w:r>
      <w:r w:rsidR="008B606B" w:rsidRPr="00792E3F">
        <w:rPr>
          <w:rFonts w:ascii="Arial Narrow" w:hAnsi="Arial Narrow" w:cs="Arial"/>
          <w:sz w:val="22"/>
          <w:szCs w:val="22"/>
        </w:rPr>
        <w:t xml:space="preserve"> </w:t>
      </w:r>
      <w:r w:rsidR="008B606B" w:rsidRPr="00792E3F">
        <w:rPr>
          <w:rFonts w:ascii="Arial Narrow" w:hAnsi="Arial Narrow" w:cs="Arial"/>
          <w:i/>
          <w:sz w:val="22"/>
          <w:szCs w:val="22"/>
        </w:rPr>
        <w:t>En desarrollo de las actividades que comprenden su objeto y en virtud de la remisión general que contempla la Ley 1735 de 2015, las SEDPES pueden ejercer el rol de adquirentes en los sistemas abiertos de tarjetas débito y crédito, a que aluden las normas actualmente incorporadas en los artículos 2.1.4.1.1 a 2.1.4.1.3 del  Decreto 2555 de 2010. Todo ello, en la medida en que la aplicación de tales disposiciones resulta procedente en consideración a la naturaleza y operaciones propias de dichas entidades.</w:t>
      </w:r>
    </w:p>
    <w:p w:rsidR="008B606B" w:rsidRPr="00792E3F" w:rsidRDefault="008B606B" w:rsidP="008B606B">
      <w:pPr>
        <w:jc w:val="both"/>
        <w:rPr>
          <w:rFonts w:ascii="Arial Narrow" w:hAnsi="Arial Narrow" w:cs="Arial"/>
          <w:sz w:val="22"/>
          <w:szCs w:val="22"/>
        </w:rPr>
      </w:pPr>
    </w:p>
    <w:p w:rsidR="008B606B" w:rsidRPr="00792E3F" w:rsidRDefault="008B606B" w:rsidP="008B606B">
      <w:pPr>
        <w:jc w:val="both"/>
        <w:rPr>
          <w:rFonts w:ascii="Arial Narrow" w:hAnsi="Arial Narrow" w:cs="Arial"/>
          <w:sz w:val="22"/>
          <w:szCs w:val="22"/>
        </w:rPr>
      </w:pPr>
      <w:r w:rsidRPr="00792E3F">
        <w:rPr>
          <w:rFonts w:ascii="Arial Narrow" w:hAnsi="Arial Narrow" w:cs="Arial"/>
          <w:sz w:val="22"/>
          <w:szCs w:val="22"/>
        </w:rPr>
        <w:t xml:space="preserve">«(…) comunicación mediante la cual efectúa la siguiente consulta: </w:t>
      </w:r>
    </w:p>
    <w:p w:rsidR="008B606B" w:rsidRPr="00792E3F" w:rsidRDefault="008B606B" w:rsidP="008B606B">
      <w:pPr>
        <w:jc w:val="both"/>
        <w:rPr>
          <w:rFonts w:ascii="Arial Narrow" w:hAnsi="Arial Narrow" w:cs="Arial"/>
          <w:sz w:val="22"/>
          <w:szCs w:val="22"/>
        </w:rPr>
      </w:pPr>
    </w:p>
    <w:p w:rsidR="008B606B" w:rsidRPr="00792E3F" w:rsidRDefault="008B606B" w:rsidP="008B606B">
      <w:pPr>
        <w:jc w:val="center"/>
        <w:rPr>
          <w:rFonts w:ascii="Arial Narrow" w:hAnsi="Arial Narrow" w:cs="Arial"/>
          <w:sz w:val="22"/>
          <w:szCs w:val="22"/>
          <w:lang w:val="es-CO" w:eastAsia="en-US"/>
        </w:rPr>
      </w:pPr>
      <w:r w:rsidRPr="00792E3F">
        <w:rPr>
          <w:rFonts w:ascii="Arial Narrow" w:hAnsi="Arial Narrow" w:cs="Arial"/>
          <w:noProof/>
          <w:sz w:val="22"/>
          <w:szCs w:val="22"/>
          <w:lang w:val="es-CO" w:eastAsia="es-CO"/>
        </w:rPr>
        <w:drawing>
          <wp:inline distT="0" distB="0" distL="0" distR="0" wp14:anchorId="36FF55A0" wp14:editId="7C84BC61">
            <wp:extent cx="5760720" cy="12420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418963" name="Imagen 1"/>
                    <pic:cNvPicPr>
                      <a:picLocks noChangeAspect="1" noChangeArrowheads="1"/>
                    </pic:cNvPicPr>
                  </pic:nvPicPr>
                  <pic:blipFill>
                    <a:blip r:embed="rId7">
                      <a:extLst>
                        <a:ext uri="{28A0092B-C50C-407E-A947-70E740481C1C}">
                          <a14:useLocalDpi xmlns:a14="http://schemas.microsoft.com/office/drawing/2010/main" val="0"/>
                        </a:ext>
                      </a:extLst>
                    </a:blip>
                    <a:srcRect l="24239" t="58005" r="23500" b="22037"/>
                    <a:stretch>
                      <a:fillRect/>
                    </a:stretch>
                  </pic:blipFill>
                  <pic:spPr bwMode="auto">
                    <a:xfrm>
                      <a:off x="0" y="0"/>
                      <a:ext cx="5760720" cy="1242060"/>
                    </a:xfrm>
                    <a:prstGeom prst="rect">
                      <a:avLst/>
                    </a:prstGeom>
                    <a:noFill/>
                    <a:ln>
                      <a:noFill/>
                    </a:ln>
                  </pic:spPr>
                </pic:pic>
              </a:graphicData>
            </a:graphic>
          </wp:inline>
        </w:drawing>
      </w:r>
    </w:p>
    <w:p w:rsidR="008B606B" w:rsidRPr="00792E3F" w:rsidRDefault="008B606B" w:rsidP="008B606B">
      <w:pPr>
        <w:jc w:val="both"/>
        <w:rPr>
          <w:rFonts w:ascii="Arial Narrow" w:hAnsi="Arial Narrow" w:cs="Arial"/>
          <w:sz w:val="22"/>
          <w:szCs w:val="22"/>
        </w:rPr>
      </w:pPr>
      <w:r w:rsidRPr="00792E3F">
        <w:rPr>
          <w:rFonts w:ascii="Arial Narrow" w:hAnsi="Arial Narrow" w:cs="Arial"/>
          <w:sz w:val="22"/>
          <w:szCs w:val="22"/>
        </w:rPr>
        <w:t>Sobre el particular, consideramos pertinente realizar las siguientes observaciones:</w:t>
      </w:r>
    </w:p>
    <w:p w:rsidR="008B606B" w:rsidRPr="00792E3F" w:rsidRDefault="008B606B" w:rsidP="008B606B">
      <w:pPr>
        <w:widowControl w:val="0"/>
        <w:jc w:val="both"/>
        <w:rPr>
          <w:rFonts w:ascii="Arial Narrow" w:hAnsi="Arial Narrow" w:cs="Arial"/>
          <w:b/>
          <w:sz w:val="22"/>
          <w:szCs w:val="22"/>
        </w:rPr>
      </w:pPr>
    </w:p>
    <w:p w:rsidR="008B606B" w:rsidRPr="00792E3F" w:rsidRDefault="008B606B" w:rsidP="008B606B">
      <w:pPr>
        <w:jc w:val="both"/>
        <w:rPr>
          <w:rFonts w:ascii="Arial Narrow" w:hAnsi="Arial Narrow" w:cs="Arial"/>
          <w:sz w:val="22"/>
          <w:szCs w:val="22"/>
        </w:rPr>
      </w:pPr>
      <w:r w:rsidRPr="00792E3F">
        <w:rPr>
          <w:rFonts w:ascii="Arial Narrow" w:hAnsi="Arial Narrow" w:cs="Arial"/>
          <w:sz w:val="22"/>
          <w:szCs w:val="22"/>
        </w:rPr>
        <w:t xml:space="preserve">La mención de la “aquerencia” se encuentra prevista en las disposiciones dictadas por el Gobierno Nacional (Decreto 2230 de 2006) con el objeto de regular la publicación de información relacionada con los sistemas abiertos de tarjetas débito y crédito, actualmente incorporadas en los artículos 2.1.4.1.1 a 2.1.4.1.3 del Título 4 del Libro 1 de la Parte 2 del Decreto Único del Sector Financiero, Asegurador y del Mercado de Valores o Decreto 2555 de 2010. </w:t>
      </w:r>
    </w:p>
    <w:p w:rsidR="008B606B" w:rsidRPr="00792E3F" w:rsidRDefault="008B606B" w:rsidP="008B606B">
      <w:pPr>
        <w:jc w:val="both"/>
        <w:rPr>
          <w:rFonts w:ascii="Arial Narrow" w:hAnsi="Arial Narrow" w:cs="Arial"/>
          <w:sz w:val="22"/>
          <w:szCs w:val="22"/>
        </w:rPr>
      </w:pPr>
    </w:p>
    <w:p w:rsidR="008B606B" w:rsidRPr="00792E3F" w:rsidRDefault="008B606B" w:rsidP="008B606B">
      <w:pPr>
        <w:jc w:val="both"/>
        <w:rPr>
          <w:rFonts w:ascii="Arial Narrow" w:hAnsi="Arial Narrow" w:cs="Arial"/>
          <w:sz w:val="22"/>
          <w:szCs w:val="22"/>
        </w:rPr>
      </w:pPr>
      <w:r w:rsidRPr="00792E3F">
        <w:rPr>
          <w:rFonts w:ascii="Arial Narrow" w:hAnsi="Arial Narrow" w:cs="Arial"/>
          <w:sz w:val="22"/>
          <w:szCs w:val="22"/>
        </w:rPr>
        <w:t xml:space="preserve">Es justamente para los fines indicados que el referido Decreto adopta las definiciones de: </w:t>
      </w:r>
      <w:r w:rsidRPr="00792E3F">
        <w:rPr>
          <w:rFonts w:ascii="Arial Narrow" w:hAnsi="Arial Narrow" w:cs="Arial"/>
          <w:i/>
          <w:sz w:val="22"/>
          <w:szCs w:val="22"/>
        </w:rPr>
        <w:t>“Establecimientos de crédito emisores”</w:t>
      </w:r>
      <w:r w:rsidRPr="00792E3F">
        <w:rPr>
          <w:rFonts w:ascii="Arial Narrow" w:hAnsi="Arial Narrow" w:cs="Arial"/>
          <w:sz w:val="22"/>
          <w:szCs w:val="22"/>
        </w:rPr>
        <w:t xml:space="preserve">, </w:t>
      </w:r>
      <w:r w:rsidRPr="00792E3F">
        <w:rPr>
          <w:rFonts w:ascii="Arial Narrow" w:hAnsi="Arial Narrow" w:cs="Arial"/>
          <w:i/>
          <w:sz w:val="22"/>
          <w:szCs w:val="22"/>
        </w:rPr>
        <w:t>“Establecimientos de crédito adquirentes”</w:t>
      </w:r>
      <w:r w:rsidRPr="00792E3F">
        <w:rPr>
          <w:rFonts w:ascii="Arial Narrow" w:hAnsi="Arial Narrow" w:cs="Arial"/>
          <w:sz w:val="22"/>
          <w:szCs w:val="22"/>
        </w:rPr>
        <w:t xml:space="preserve">, </w:t>
      </w:r>
      <w:r w:rsidRPr="00792E3F">
        <w:rPr>
          <w:rFonts w:ascii="Arial Narrow" w:hAnsi="Arial Narrow" w:cs="Arial"/>
          <w:i/>
          <w:sz w:val="22"/>
          <w:szCs w:val="22"/>
        </w:rPr>
        <w:t>“Comisión de adquirencia”</w:t>
      </w:r>
      <w:r w:rsidRPr="00792E3F">
        <w:rPr>
          <w:rFonts w:ascii="Arial Narrow" w:hAnsi="Arial Narrow" w:cs="Arial"/>
          <w:sz w:val="22"/>
          <w:szCs w:val="22"/>
        </w:rPr>
        <w:t xml:space="preserve">, </w:t>
      </w:r>
      <w:r w:rsidRPr="00792E3F">
        <w:rPr>
          <w:rFonts w:ascii="Arial Narrow" w:hAnsi="Arial Narrow" w:cs="Arial"/>
          <w:i/>
          <w:sz w:val="22"/>
          <w:szCs w:val="22"/>
        </w:rPr>
        <w:t>“Tarifa interbancaria de intercambio”</w:t>
      </w:r>
      <w:r w:rsidRPr="00792E3F">
        <w:rPr>
          <w:rFonts w:ascii="Arial Narrow" w:hAnsi="Arial Narrow" w:cs="Arial"/>
          <w:sz w:val="22"/>
          <w:szCs w:val="22"/>
        </w:rPr>
        <w:t xml:space="preserve">, </w:t>
      </w:r>
      <w:r w:rsidRPr="00792E3F">
        <w:rPr>
          <w:rFonts w:ascii="Arial Narrow" w:hAnsi="Arial Narrow" w:cs="Arial"/>
          <w:i/>
          <w:sz w:val="22"/>
          <w:szCs w:val="22"/>
        </w:rPr>
        <w:t>“Cuota de manejo”</w:t>
      </w:r>
      <w:r w:rsidRPr="00792E3F">
        <w:rPr>
          <w:rFonts w:ascii="Arial Narrow" w:hAnsi="Arial Narrow" w:cs="Arial"/>
          <w:sz w:val="22"/>
          <w:szCs w:val="22"/>
        </w:rPr>
        <w:t xml:space="preserve"> y </w:t>
      </w:r>
      <w:r w:rsidRPr="00792E3F">
        <w:rPr>
          <w:rFonts w:ascii="Arial Narrow" w:hAnsi="Arial Narrow" w:cs="Arial"/>
          <w:i/>
          <w:sz w:val="22"/>
          <w:szCs w:val="22"/>
        </w:rPr>
        <w:t>“Sistema abierto de tarjetas”</w:t>
      </w:r>
      <w:r w:rsidRPr="00792E3F">
        <w:rPr>
          <w:rFonts w:ascii="Arial Narrow" w:hAnsi="Arial Narrow" w:cs="Arial"/>
          <w:sz w:val="22"/>
          <w:szCs w:val="22"/>
        </w:rPr>
        <w:t xml:space="preserve">. </w:t>
      </w:r>
    </w:p>
    <w:p w:rsidR="008B606B" w:rsidRPr="00792E3F" w:rsidRDefault="008B606B" w:rsidP="008B606B">
      <w:pPr>
        <w:jc w:val="both"/>
        <w:rPr>
          <w:rFonts w:ascii="Arial Narrow" w:hAnsi="Arial Narrow" w:cs="Arial"/>
          <w:sz w:val="22"/>
          <w:szCs w:val="22"/>
        </w:rPr>
      </w:pPr>
    </w:p>
    <w:p w:rsidR="008B606B" w:rsidRPr="00792E3F" w:rsidRDefault="008B606B" w:rsidP="008B606B">
      <w:pPr>
        <w:jc w:val="both"/>
        <w:rPr>
          <w:rFonts w:ascii="Arial Narrow" w:hAnsi="Arial Narrow" w:cs="Arial"/>
          <w:sz w:val="22"/>
          <w:szCs w:val="22"/>
        </w:rPr>
      </w:pPr>
      <w:r w:rsidRPr="00792E3F">
        <w:rPr>
          <w:rFonts w:ascii="Arial Narrow" w:hAnsi="Arial Narrow" w:cs="Arial"/>
          <w:sz w:val="22"/>
          <w:szCs w:val="22"/>
        </w:rPr>
        <w:t xml:space="preserve">Realizada la anterior precisión, se observa que la expresión </w:t>
      </w:r>
      <w:r w:rsidRPr="00792E3F">
        <w:rPr>
          <w:rFonts w:ascii="Arial Narrow" w:hAnsi="Arial Narrow" w:cs="Arial"/>
          <w:i/>
          <w:sz w:val="22"/>
          <w:szCs w:val="22"/>
        </w:rPr>
        <w:t>“Establecimientos de crédito adquirentes”</w:t>
      </w:r>
      <w:r w:rsidRPr="00792E3F">
        <w:rPr>
          <w:rFonts w:ascii="Arial Narrow" w:hAnsi="Arial Narrow" w:cs="Arial"/>
          <w:sz w:val="22"/>
          <w:szCs w:val="22"/>
        </w:rPr>
        <w:t xml:space="preserve"> alude a aquellas entidades (establecimientos de crédito) que en condición de </w:t>
      </w:r>
      <w:r w:rsidRPr="00792E3F">
        <w:rPr>
          <w:rFonts w:ascii="Arial Narrow" w:hAnsi="Arial Narrow" w:cs="Arial"/>
          <w:i/>
          <w:sz w:val="22"/>
          <w:szCs w:val="22"/>
        </w:rPr>
        <w:t>“adquirentes”</w:t>
      </w:r>
      <w:r w:rsidRPr="00792E3F">
        <w:rPr>
          <w:rFonts w:ascii="Arial Narrow" w:hAnsi="Arial Narrow" w:cs="Arial"/>
          <w:sz w:val="22"/>
          <w:szCs w:val="22"/>
        </w:rPr>
        <w:t xml:space="preserve">, dentro de un sistema abierto de tarjetas, pagan a los propietarios de los establecimientos de comercio el valor de las adquisiciones de bienes o servicios realizadas en estos con tarjetas débito o crédito. Igualmente, se advierte que la alocución </w:t>
      </w:r>
      <w:r w:rsidRPr="00792E3F">
        <w:rPr>
          <w:rFonts w:ascii="Arial Narrow" w:hAnsi="Arial Narrow" w:cs="Arial"/>
          <w:i/>
          <w:sz w:val="22"/>
          <w:szCs w:val="22"/>
        </w:rPr>
        <w:t>“Sistema abierto de tarjetas”</w:t>
      </w:r>
      <w:r w:rsidRPr="00792E3F">
        <w:rPr>
          <w:rFonts w:ascii="Arial Narrow" w:hAnsi="Arial Narrow" w:cs="Arial"/>
          <w:sz w:val="22"/>
          <w:szCs w:val="22"/>
        </w:rPr>
        <w:t xml:space="preserve"> hace referencia al </w:t>
      </w:r>
      <w:r w:rsidRPr="00792E3F">
        <w:rPr>
          <w:rFonts w:ascii="Arial Narrow" w:hAnsi="Arial Narrow" w:cs="Arial"/>
          <w:i/>
          <w:sz w:val="22"/>
          <w:szCs w:val="22"/>
        </w:rPr>
        <w:t>“sistema de pagos de bajo valor en el cual actúan como participantes, tanto establecimientos de crédito adquirentes, así como entidades administradoras de tales sistemas”</w:t>
      </w:r>
      <w:r w:rsidRPr="00792E3F">
        <w:rPr>
          <w:rFonts w:ascii="Arial Narrow" w:hAnsi="Arial Narrow" w:cs="Arial"/>
          <w:sz w:val="22"/>
          <w:szCs w:val="22"/>
        </w:rPr>
        <w:t xml:space="preserve">. </w:t>
      </w:r>
    </w:p>
    <w:p w:rsidR="008B606B" w:rsidRPr="00792E3F" w:rsidRDefault="008B606B" w:rsidP="008B606B">
      <w:pPr>
        <w:jc w:val="both"/>
        <w:rPr>
          <w:rFonts w:ascii="Arial Narrow" w:hAnsi="Arial Narrow" w:cs="Arial"/>
          <w:sz w:val="22"/>
          <w:szCs w:val="22"/>
        </w:rPr>
      </w:pPr>
    </w:p>
    <w:p w:rsidR="008B606B" w:rsidRPr="00792E3F" w:rsidRDefault="008B606B" w:rsidP="008B606B">
      <w:pPr>
        <w:jc w:val="both"/>
        <w:rPr>
          <w:rFonts w:ascii="Arial Narrow" w:hAnsi="Arial Narrow" w:cs="Arial"/>
          <w:sz w:val="22"/>
          <w:szCs w:val="22"/>
        </w:rPr>
      </w:pPr>
      <w:r w:rsidRPr="00792E3F">
        <w:rPr>
          <w:rFonts w:ascii="Arial Narrow" w:hAnsi="Arial Narrow" w:cs="Arial"/>
          <w:sz w:val="22"/>
          <w:szCs w:val="22"/>
        </w:rPr>
        <w:t xml:space="preserve">De acuerdo con las anteriores definiciones, interpretadas en armonía con las reglas previstas en el citado Decreto, se estima que el rol de </w:t>
      </w:r>
      <w:r w:rsidRPr="00792E3F">
        <w:rPr>
          <w:rFonts w:ascii="Arial Narrow" w:hAnsi="Arial Narrow" w:cs="Arial"/>
          <w:i/>
          <w:sz w:val="22"/>
          <w:szCs w:val="22"/>
        </w:rPr>
        <w:t>“adquirente”</w:t>
      </w:r>
      <w:r w:rsidRPr="00792E3F">
        <w:rPr>
          <w:rFonts w:ascii="Arial Narrow" w:hAnsi="Arial Narrow" w:cs="Arial"/>
          <w:sz w:val="22"/>
          <w:szCs w:val="22"/>
        </w:rPr>
        <w:t xml:space="preserve"> requiere, por una parte, que la entidad tenga la calidad de </w:t>
      </w:r>
      <w:r w:rsidRPr="00792E3F">
        <w:rPr>
          <w:rFonts w:ascii="Arial Narrow" w:hAnsi="Arial Narrow" w:cs="Arial"/>
          <w:i/>
          <w:sz w:val="22"/>
          <w:szCs w:val="22"/>
        </w:rPr>
        <w:t>“participante”</w:t>
      </w:r>
      <w:r w:rsidRPr="00792E3F">
        <w:rPr>
          <w:rFonts w:ascii="Arial Narrow" w:hAnsi="Arial Narrow" w:cs="Arial"/>
          <w:sz w:val="22"/>
          <w:szCs w:val="22"/>
        </w:rPr>
        <w:t xml:space="preserve"> de un sistema de pago de bajo valor y, por otra, que se encuentre habilitada legalmente para ofrecer depósitos a la vista y prestar los servicios vinculados con su manejo. </w:t>
      </w:r>
    </w:p>
    <w:p w:rsidR="008B606B" w:rsidRPr="00792E3F" w:rsidRDefault="008B606B" w:rsidP="008B606B">
      <w:pPr>
        <w:jc w:val="both"/>
        <w:rPr>
          <w:rFonts w:ascii="Arial Narrow" w:hAnsi="Arial Narrow" w:cs="Arial"/>
          <w:sz w:val="22"/>
          <w:szCs w:val="22"/>
        </w:rPr>
      </w:pPr>
    </w:p>
    <w:p w:rsidR="008B606B" w:rsidRPr="00792E3F" w:rsidRDefault="008B606B" w:rsidP="008B606B">
      <w:pPr>
        <w:jc w:val="both"/>
        <w:rPr>
          <w:rFonts w:ascii="Arial Narrow" w:hAnsi="Arial Narrow" w:cs="Arial"/>
          <w:sz w:val="22"/>
          <w:szCs w:val="22"/>
        </w:rPr>
      </w:pPr>
      <w:r w:rsidRPr="00792E3F">
        <w:rPr>
          <w:rFonts w:ascii="Arial Narrow" w:hAnsi="Arial Narrow" w:cs="Arial"/>
          <w:sz w:val="22"/>
          <w:szCs w:val="22"/>
        </w:rPr>
        <w:t xml:space="preserve">Sobre el primer aspecto, es preciso tener en cuenta que conforme al literal h) del artículo 2.17.1.1.1 del Decreto 2555 de 2010, puede ser participante de un sistema de pago de bajo valor cualquier entidad autorizada por su administrador, conforme a su reglamento, para tramitar órdenes de transferencia o recaudo a través </w:t>
      </w:r>
      <w:proofErr w:type="gramStart"/>
      <w:r w:rsidRPr="00792E3F">
        <w:rPr>
          <w:rFonts w:ascii="Arial Narrow" w:hAnsi="Arial Narrow" w:cs="Arial"/>
          <w:sz w:val="22"/>
          <w:szCs w:val="22"/>
        </w:rPr>
        <w:t>del mismo</w:t>
      </w:r>
      <w:proofErr w:type="gramEnd"/>
      <w:r w:rsidRPr="00792E3F">
        <w:rPr>
          <w:rFonts w:ascii="Arial Narrow" w:hAnsi="Arial Narrow" w:cs="Arial"/>
          <w:sz w:val="22"/>
          <w:szCs w:val="22"/>
        </w:rPr>
        <w:t xml:space="preserve">, y que participa directamente en su compensación y liquidación. </w:t>
      </w:r>
    </w:p>
    <w:p w:rsidR="008B606B" w:rsidRPr="00792E3F" w:rsidRDefault="008B606B" w:rsidP="008B606B">
      <w:pPr>
        <w:jc w:val="both"/>
        <w:rPr>
          <w:rFonts w:ascii="Arial Narrow" w:hAnsi="Arial Narrow" w:cs="Arial"/>
          <w:sz w:val="22"/>
          <w:szCs w:val="22"/>
        </w:rPr>
      </w:pPr>
    </w:p>
    <w:p w:rsidR="008B606B" w:rsidRPr="00792E3F" w:rsidRDefault="008B606B" w:rsidP="008B606B">
      <w:pPr>
        <w:jc w:val="both"/>
        <w:rPr>
          <w:rFonts w:ascii="Arial Narrow" w:hAnsi="Arial Narrow" w:cs="Arial"/>
          <w:sz w:val="22"/>
          <w:szCs w:val="22"/>
        </w:rPr>
      </w:pPr>
      <w:r w:rsidRPr="00792E3F">
        <w:rPr>
          <w:rFonts w:ascii="Arial Narrow" w:hAnsi="Arial Narrow" w:cs="Arial"/>
          <w:sz w:val="22"/>
          <w:szCs w:val="22"/>
        </w:rPr>
        <w:t xml:space="preserve">En cuanto al segundo asunto, cabe anotar que además de los establecimientos de crédito, a tenor de lo previsto en el artículo 1º de la Ley 1735 de 2014, las SEDPES se encuentran facultadas para captar recursos del público a través de depósitos a la vista, específicamente por medio de los depósitos electrónicos a que hacen referencia los artículos 2.1.15.1.1 y siguientes del Decreto 2555 de 2010, así como para hacer pagos y traspasos. </w:t>
      </w:r>
    </w:p>
    <w:p w:rsidR="008B606B" w:rsidRPr="00792E3F" w:rsidRDefault="008B606B" w:rsidP="008B606B">
      <w:pPr>
        <w:jc w:val="both"/>
        <w:rPr>
          <w:rFonts w:ascii="Arial Narrow" w:hAnsi="Arial Narrow" w:cs="Arial"/>
          <w:sz w:val="22"/>
          <w:szCs w:val="22"/>
        </w:rPr>
      </w:pPr>
    </w:p>
    <w:p w:rsidR="008B606B" w:rsidRPr="00792E3F" w:rsidRDefault="008B606B" w:rsidP="008B606B">
      <w:pPr>
        <w:jc w:val="both"/>
        <w:rPr>
          <w:rFonts w:ascii="Arial Narrow" w:hAnsi="Arial Narrow" w:cs="Arial"/>
          <w:i/>
          <w:sz w:val="22"/>
          <w:szCs w:val="22"/>
        </w:rPr>
      </w:pPr>
      <w:r w:rsidRPr="00792E3F">
        <w:rPr>
          <w:rFonts w:ascii="Arial Narrow" w:hAnsi="Arial Narrow" w:cs="Arial"/>
          <w:sz w:val="22"/>
          <w:szCs w:val="22"/>
        </w:rPr>
        <w:t>Adicionalmente, es pertinente mencionar que según el referido artículo de la misma ley “</w:t>
      </w:r>
      <w:r w:rsidRPr="00792E3F">
        <w:rPr>
          <w:rFonts w:ascii="Arial Narrow" w:hAnsi="Arial Narrow" w:cs="Arial"/>
          <w:i/>
          <w:sz w:val="22"/>
          <w:szCs w:val="22"/>
        </w:rPr>
        <w:t>A las sociedades especializadas en depósitos y pagos electrónicos les serán aplicables (…) las demás disposiciones cuya aplicación sea procedente atendiendo la naturaleza y las actividades que realizan dichas instituciones”.</w:t>
      </w:r>
    </w:p>
    <w:p w:rsidR="008B606B" w:rsidRPr="00792E3F" w:rsidRDefault="008B606B" w:rsidP="008B606B">
      <w:pPr>
        <w:jc w:val="both"/>
        <w:rPr>
          <w:rFonts w:ascii="Arial Narrow" w:hAnsi="Arial Narrow" w:cs="Arial"/>
          <w:i/>
          <w:sz w:val="22"/>
          <w:szCs w:val="22"/>
        </w:rPr>
      </w:pPr>
    </w:p>
    <w:p w:rsidR="008B606B" w:rsidRPr="00792E3F" w:rsidRDefault="008B606B" w:rsidP="008B606B">
      <w:pPr>
        <w:jc w:val="both"/>
        <w:rPr>
          <w:rFonts w:ascii="Arial Narrow" w:hAnsi="Arial Narrow" w:cs="Arial"/>
          <w:sz w:val="22"/>
          <w:szCs w:val="22"/>
        </w:rPr>
      </w:pPr>
      <w:r w:rsidRPr="00792E3F">
        <w:rPr>
          <w:rFonts w:ascii="Arial Narrow" w:hAnsi="Arial Narrow" w:cs="Arial"/>
          <w:sz w:val="22"/>
          <w:szCs w:val="22"/>
        </w:rPr>
        <w:t>De acuerdo con lo expuesto, se concluye que en desarrollo de las actividades que comprenden su objeto y en virtud de la remisión general que contempla la Ley 1735 de 2015, las SEDPES pueden ejercer el rol de adquirentes en los sistemas abiertos de tarjetas débito y crédito, a que aluden las normas actualmente incorporadas en los artículos 2.1.4.1.1 a 2.1.4.1.3 del  Decreto 2555 de 2010. Todo ello, en la medida en que la aplicación de tales disposiciones resulta procedente en consideración a la naturaleza y operaciones propias de dichas entidades.</w:t>
      </w:r>
    </w:p>
    <w:p w:rsidR="008B606B" w:rsidRPr="00792E3F" w:rsidRDefault="008B606B" w:rsidP="008B606B">
      <w:pPr>
        <w:jc w:val="both"/>
        <w:rPr>
          <w:rFonts w:ascii="Arial Narrow" w:hAnsi="Arial Narrow" w:cs="Arial"/>
          <w:sz w:val="22"/>
          <w:szCs w:val="22"/>
        </w:rPr>
      </w:pPr>
    </w:p>
    <w:p w:rsidR="00721AAF" w:rsidRPr="00792E3F" w:rsidRDefault="008B606B">
      <w:pPr>
        <w:rPr>
          <w:rFonts w:ascii="Arial Narrow" w:hAnsi="Arial Narrow"/>
          <w:sz w:val="22"/>
          <w:szCs w:val="22"/>
        </w:rPr>
      </w:pPr>
      <w:r w:rsidRPr="00792E3F">
        <w:rPr>
          <w:rFonts w:ascii="Arial Narrow" w:hAnsi="Arial Narrow" w:cs="Arial"/>
          <w:sz w:val="22"/>
          <w:szCs w:val="22"/>
        </w:rPr>
        <w:t>(…).</w:t>
      </w:r>
      <w:r w:rsidRPr="00792E3F">
        <w:rPr>
          <w:rFonts w:ascii="Arial Narrow" w:hAnsi="Arial Narrow"/>
          <w:sz w:val="22"/>
          <w:szCs w:val="22"/>
        </w:rPr>
        <w:t>»</w:t>
      </w:r>
    </w:p>
    <w:sectPr w:rsidR="00721AAF" w:rsidRPr="00792E3F" w:rsidSect="00792E3F">
      <w:type w:val="continuous"/>
      <w:pgSz w:w="12242" w:h="15842" w:code="1"/>
      <w:pgMar w:top="1985" w:right="1701" w:bottom="1701" w:left="1985"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BC9" w:rsidRDefault="00A04BC9" w:rsidP="008B606B">
      <w:r>
        <w:separator/>
      </w:r>
    </w:p>
  </w:endnote>
  <w:endnote w:type="continuationSeparator" w:id="0">
    <w:p w:rsidR="00A04BC9" w:rsidRDefault="00A04BC9" w:rsidP="008B6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BC9" w:rsidRDefault="00A04BC9" w:rsidP="008B606B">
      <w:r>
        <w:separator/>
      </w:r>
    </w:p>
  </w:footnote>
  <w:footnote w:type="continuationSeparator" w:id="0">
    <w:p w:rsidR="00A04BC9" w:rsidRDefault="00A04BC9" w:rsidP="008B60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06B"/>
    <w:rsid w:val="004D689A"/>
    <w:rsid w:val="00721AAF"/>
    <w:rsid w:val="00792E3F"/>
    <w:rsid w:val="008B606B"/>
    <w:rsid w:val="00A04B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F3D44-B300-4403-82DA-5E836AA3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06B"/>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B606B"/>
    <w:pPr>
      <w:tabs>
        <w:tab w:val="center" w:pos="4252"/>
        <w:tab w:val="right" w:pos="8504"/>
      </w:tabs>
    </w:pPr>
  </w:style>
  <w:style w:type="character" w:customStyle="1" w:styleId="EncabezadoCar">
    <w:name w:val="Encabezado Car"/>
    <w:basedOn w:val="Fuentedeprrafopredeter"/>
    <w:link w:val="Encabezado"/>
    <w:rsid w:val="008B606B"/>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8B606B"/>
    <w:pPr>
      <w:tabs>
        <w:tab w:val="center" w:pos="4252"/>
        <w:tab w:val="right" w:pos="8504"/>
      </w:tabs>
    </w:pPr>
  </w:style>
  <w:style w:type="character" w:customStyle="1" w:styleId="PiedepginaCar">
    <w:name w:val="Pie de página Car"/>
    <w:basedOn w:val="Fuentedeprrafopredeter"/>
    <w:link w:val="Piedepgina"/>
    <w:rsid w:val="008B606B"/>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B60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606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26297-CA43-4ACA-8365-33E78AAF2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662</Words>
  <Characters>3645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Alfonso Gonzalez Binches</dc:creator>
  <cp:keywords/>
  <dc:description/>
  <cp:lastModifiedBy>Hugo Alfonso Gonzalez Binches</cp:lastModifiedBy>
  <cp:revision>2</cp:revision>
  <dcterms:created xsi:type="dcterms:W3CDTF">2019-10-15T19:06:00Z</dcterms:created>
  <dcterms:modified xsi:type="dcterms:W3CDTF">2019-11-13T15:44:00Z</dcterms:modified>
</cp:coreProperties>
</file>